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10 88 vom 9. September 2010</w:t>
      </w:r>
    </w:p>
    <w:p>
      <w:r>
        <w:t>VS Kantonsgericht, 2010-09-09, DE</w:t>
      </w:r>
    </w:p>
    <w:p>
      <w:r>
        <w:rPr>
          <w:b/>
        </w:rPr>
        <w:t xml:space="preserve">Quelle: </w:t>
      </w:r>
      <w:r>
        <w:t>https://mcp.opencaselaw.ch/entscheid/vs_gerichte_C1 10 88</w:t>
      </w:r>
    </w:p>
    <w:p>
      <w:r>
        <w:t>FR: VS_GERICHTE C1 10 88 du 9 septembre 2010</w:t>
      </w:r>
    </w:p>
    <w:p>
      <w:r>
        <w:t>IT: VS_GERICHTE C1 10 88 del 9 settembre 2010</w:t>
      </w:r>
    </w:p>
    <w:p>
      <w:pPr>
        <w:pStyle w:val="Heading2"/>
      </w:pPr>
      <w:r>
        <w:t>Regeste</w:t>
      </w:r>
    </w:p>
    <w:p>
      <w:r>
        <w:t>Zivilrecht - Gesetzliches Pfandrecht der Handwerker und Unternehmer - Sicherheitsleistung - KGE (I. Zivilrechtliche Abteilung) vom 9. Septem- ber 2010, X. AG c. Y. AG - TCV C1 10 88 Gesetzliches Pfandrecht der Handwerker und Unternehmer; Sicherheitsleistung – Eine Vereinbarung über die Leistung von Sicherheiten mit dem Zweck, die Eintra- gung eines Pfandrechts zu vermeiden, lässt, gegenteilige Abrede vorbehalten, die Streitigkeit in dem Stadium bestehen, in dem sie sich zuvor befunden hat (Art. 839 Abs. 3 ZGB; E. 2a/aa). – Unter welchen Voraussetzungen der Unternehmer die Sicherheit beanspruchen darf, ist bei der Bestellung der Sicherheit festzulegen (E. 2a/bb). – Im konkreten Fall definitive Bestellung der Sicherheit (E. 2b). Ref. CH: Art. 839 ZGB Ref. VS: - Hypothèque légale des artisans et des entrepreneurs; fourniture de sûretés – Sauf clause contraire, l’accord sur la fourniture de sûretés destiné à éviter l’ins- cription d’une hypothèque laisse subsister le litige au stade où il se trouvait aupa- ravant (art. 839 al. 2 CC; consid. 2a/aa). – C’est lors de la constitution des sûretés qu’il faut fixer à quelles conditions l’en-</w:t>
      </w:r>
    </w:p>
    <w:p>
      <w:pPr>
        <w:pStyle w:val="Heading2"/>
      </w:pPr>
      <w:r>
        <w:t>Erwägungen</w:t>
      </w:r>
    </w:p>
    <w:p>
      <w:r>
        <w:rPr>
          <w:b/>
        </w:rPr>
        <w:t>E. 2</w:t>
      </w:r>
    </w:p>
    <w:p>
      <w:r>
        <w:t>Das Bauhandwerkerpfandrecht Nr. ... ist zu löschen.</w:t>
      </w:r>
    </w:p>
    <w:p>
      <w:r>
        <w:rPr>
          <w:b/>
        </w:rPr>
        <w:t>E. 3</w:t>
      </w:r>
    </w:p>
    <w:p>
      <w:r>
        <w:t>Der anerkannte Betrag ist der Gesuchsgegnerin zu überweisen.</w:t>
      </w:r>
    </w:p>
    <w:p>
      <w:r>
        <w:rPr>
          <w:b/>
        </w:rPr>
        <w:t>E. 4</w:t>
      </w:r>
    </w:p>
    <w:p>
      <w:r>
        <w:t>Die Kosten von Verfahren und Entscheid gehen zu Lasten der Gesuchstellerin. Gemäss Begründung erfolgte die Barkaution ebenfalls mit Einver- ständnis der Schuldner und laut Kaufvertrag vom 1. Juni 2007, womit die Y. AG von den Ehegatten W. die Parzelle Nr. ...1 kaufte. Weiter führte sie in ihrer Rechtsschrift aus: «Seitens der Gesuchstellerin wird die Sicherheit definitiv geleistet», wobei sie diesbezüglich in rechtlicher Hinsicht und mit Hinweis auf Schumacher beifügte: «Wird die Sicher- heit definitiv bestellt, wird der Pfandanspruch damit endgültig bestellt und das Eintragungsverfahren kann somit beendet werden». Schliess- lich führte sie aus: «Nach rechtskräftiger Feststellung des Forderungs- anspruchs der Gesuchsgegnerin ist diese aus der Barkaution zu befrie- digen und eine allfällige Restanz ist an die Gesuchstellerin zurück zu überweisen», wobei sie in ihrem Rechtsbot vom 16. Januar 2008 präzi- sierte, dass die Anerkennung der Schuld nicht durch die Grundspfand- stellerin (also die Y. AG), sondern durch die Schuldner bzw. die Ehegat- ten W. zu erfolgen habe. Mit diesen Ausführungen hat die beklagte Grundeigentümerin unmissverständlich und in Kenntnis der rechtli- chen Situation zum Ausdruck gebracht, dass sie die Sicherheit defini- 262 RVJ / ZWR 2011</w:t>
      </w:r>
    </w:p>
    <w:p>
      <w:r>
        <w:t>RVJ / ZWR 2011 263 tiv leistet, was sie gegen sich gelten lassen muss, zumal sie durch einen Rechtsanwalt vertreten war, dem der juristische Sinn der verwendeten Ausdrücke bekannt sein musste und der zufolge des Verweises auf die entsprechende Literatur wusste, dass damit das Bauhandwerkerpfand- recht definitiv anerkannt und auf die definitive gerichtliche Beurteilung desselben verzichtet wird. Ob und in welchem Umfang die von der Beklagten geleistete Barkaution von der Klägerin beansprucht werden kann, hing danach lediglich von der Anerkennung des Werklohns durch die Besteller/Werklohnschuldner bzw. den Ehegatten W. ab, wobei einer solchen die gerichtliche Feststellung bzw. ein rechtskräftiges Urteil gleichgesetzt werden muss. In diesem Sinn hat denn auch der Bezirkrichter die Leistung der Barkaution verstanden, welcher der Klä- gerin am 6. März 2009 Frist ansetzte, um die Forderungsklage gegen die Bauherrschaft einzuleiten, mit der Begründung, die Parteien X. AG / Y. AG seien sich im Massnahmeverfahren einig gewesen, dass jene aus der Barkaution zu befriedigen und eine allfällige Restanz der Grundei- gentümerin zurückzubezahlen sei, sobald die Forderung rechtskräftig festgestellt sei. Diese Verfügung blieb seitens der Beklagten unwider- sprochen, woraus erhellt, dass diese Verfügung im Sinn der Beklagten erfolgte. Demnach geht es im vorliegenden Verfahren nicht um die defi- nitive Bestellung der Sicherheit, weshalb entgegen der Ansicht der Beklagten die Voraussetzungen des Pfandanspruchs seitens der Kläge- rin nicht nachzuweisen bzw. nicht zu beurteilen sind. Vielmehr steht der Klägerin die Barkaution im Umfang der anerkannten bzw. gericht- lich festgestellten Werklohnforderung gegenüber den Bestellern bzw. Eheleuten W. zu. c) Mit Urteil des Kantonsgerichts vom 16. September 2009 sind die Ehegatten W. verpflichtet worden, unter solidarischer Haftbarkeit der X. AG Fr. 17’726.10 zuzüglich Verzugszins von 5% ab dem 28. Juni 2007 zu bezahlen (...). Dieses Urteil ist in Rechtskraft erwachsen und damit sind die Voraussetzungen für die Herausgabe der Sicherheit im Umfang der gerichtlich festgestellten Forderung samt Zins, die bis anhin nicht bezahlt wurde, erfüllt. Indessen deckt die Sicherheit die den Werklohnschuldnern auferlegten Gerichtskosten und Parteientschädi- gung nicht. Der an die Klägerin zulasten der Barkaution auszubezah- lende Betrag beläuft sich somit auf Fr. 17’726.10 und Fr. 2’838.60 Zins (bis 9.9.10 1169 Tage), total Fr. 20’564.70.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